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8C0324" w:rsidRPr="0090169A" w:rsidRDefault="008C0324"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8C0324" w:rsidRPr="0090169A" w:rsidRDefault="008C0324"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lastRenderedPageBreak/>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8C0324" w:rsidRDefault="008C0324"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8C0324" w:rsidRPr="00D426F6" w:rsidRDefault="008C0324"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8C0324" w:rsidRDefault="008C0324"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8C0324" w:rsidRPr="00D426F6" w:rsidRDefault="008C0324"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8C0324" w:rsidRPr="00C86555" w:rsidRDefault="008C0324"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C0324" w:rsidRPr="00C86555" w:rsidRDefault="008C0324"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C0324" w:rsidRPr="00B14B8F" w:rsidRDefault="008C0324"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8C0324" w:rsidRPr="00C86555" w:rsidRDefault="008C0324"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C0324" w:rsidRPr="00C86555" w:rsidRDefault="008C0324"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C0324" w:rsidRPr="00B14B8F" w:rsidRDefault="008C0324"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24" w:rsidRDefault="008C0324" w:rsidP="008C07F8">
      <w:r>
        <w:separator/>
      </w:r>
    </w:p>
  </w:endnote>
  <w:endnote w:type="continuationSeparator" w:id="0">
    <w:p w:rsidR="008C0324" w:rsidRDefault="008C032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EndPr/>
    <w:sdtContent>
      <w:p w:rsidR="008C0324" w:rsidRDefault="008C0324">
        <w:pPr>
          <w:pStyle w:val="af"/>
          <w:jc w:val="center"/>
        </w:pPr>
        <w:r>
          <w:fldChar w:fldCharType="begin"/>
        </w:r>
        <w:r>
          <w:instrText>PAGE   \* MERGEFORMAT</w:instrText>
        </w:r>
        <w:r>
          <w:fldChar w:fldCharType="separate"/>
        </w:r>
        <w:r w:rsidR="0037642B" w:rsidRPr="0037642B">
          <w:rPr>
            <w:noProof/>
            <w:lang w:val="ja-JP"/>
          </w:rPr>
          <w:t>1</w:t>
        </w:r>
        <w:r>
          <w:fldChar w:fldCharType="end"/>
        </w:r>
      </w:p>
    </w:sdtContent>
  </w:sdt>
  <w:p w:rsidR="008C0324" w:rsidRDefault="008C0324"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8C0324" w:rsidRDefault="008C0324">
        <w:pPr>
          <w:pStyle w:val="af"/>
          <w:jc w:val="center"/>
        </w:pPr>
        <w:r>
          <w:rPr>
            <w:rFonts w:hint="eastAsia"/>
          </w:rPr>
          <w:t>21</w:t>
        </w:r>
      </w:p>
    </w:sdtContent>
  </w:sdt>
  <w:p w:rsidR="008C0324" w:rsidRDefault="008C0324"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EndPr/>
    <w:sdtContent>
      <w:p w:rsidR="008C0324" w:rsidRDefault="008C0324">
        <w:pPr>
          <w:pStyle w:val="af"/>
          <w:jc w:val="center"/>
        </w:pPr>
        <w:r>
          <w:fldChar w:fldCharType="begin"/>
        </w:r>
        <w:r>
          <w:instrText>PAGE   \* MERGEFORMAT</w:instrText>
        </w:r>
        <w:r>
          <w:fldChar w:fldCharType="separate"/>
        </w:r>
        <w:r w:rsidR="0037642B" w:rsidRPr="0037642B">
          <w:rPr>
            <w:noProof/>
            <w:lang w:val="ja-JP"/>
          </w:rPr>
          <w:t>23</w:t>
        </w:r>
        <w:r>
          <w:fldChar w:fldCharType="end"/>
        </w:r>
      </w:p>
    </w:sdtContent>
  </w:sdt>
  <w:p w:rsidR="008C0324" w:rsidRDefault="008C032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EndPr/>
    <w:sdtContent>
      <w:p w:rsidR="008C0324" w:rsidRDefault="008C0324">
        <w:pPr>
          <w:pStyle w:val="af"/>
          <w:jc w:val="center"/>
        </w:pPr>
        <w:r>
          <w:fldChar w:fldCharType="begin"/>
        </w:r>
        <w:r>
          <w:instrText>PAGE   \* MERGEFORMAT</w:instrText>
        </w:r>
        <w:r>
          <w:fldChar w:fldCharType="separate"/>
        </w:r>
        <w:r w:rsidR="0037642B" w:rsidRPr="0037642B">
          <w:rPr>
            <w:noProof/>
            <w:lang w:val="ja-JP"/>
          </w:rPr>
          <w:t>22</w:t>
        </w:r>
        <w:r>
          <w:fldChar w:fldCharType="end"/>
        </w:r>
      </w:p>
    </w:sdtContent>
  </w:sdt>
  <w:p w:rsidR="008C0324" w:rsidRDefault="008C0324">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8C0324" w:rsidRDefault="008C0324">
        <w:pPr>
          <w:pStyle w:val="af"/>
          <w:jc w:val="center"/>
        </w:pPr>
        <w:r>
          <w:rPr>
            <w:rFonts w:hint="eastAsia"/>
          </w:rPr>
          <w:t>24</w:t>
        </w:r>
      </w:p>
    </w:sdtContent>
  </w:sdt>
  <w:p w:rsidR="008C0324" w:rsidRDefault="008C0324">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EndPr/>
    <w:sdtContent>
      <w:p w:rsidR="008C0324" w:rsidRDefault="008C0324">
        <w:pPr>
          <w:pStyle w:val="af"/>
          <w:jc w:val="center"/>
        </w:pPr>
        <w:r>
          <w:fldChar w:fldCharType="begin"/>
        </w:r>
        <w:r>
          <w:instrText>PAGE   \* MERGEFORMAT</w:instrText>
        </w:r>
        <w:r>
          <w:fldChar w:fldCharType="separate"/>
        </w:r>
        <w:r w:rsidR="0037642B" w:rsidRPr="0037642B">
          <w:rPr>
            <w:noProof/>
            <w:lang w:val="ja-JP"/>
          </w:rPr>
          <w:t>48</w:t>
        </w:r>
        <w:r>
          <w:fldChar w:fldCharType="end"/>
        </w:r>
      </w:p>
    </w:sdtContent>
  </w:sdt>
  <w:p w:rsidR="008C0324" w:rsidRDefault="008C03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24" w:rsidRDefault="008C0324" w:rsidP="008C07F8">
      <w:r>
        <w:separator/>
      </w:r>
    </w:p>
  </w:footnote>
  <w:footnote w:type="continuationSeparator" w:id="0">
    <w:p w:rsidR="008C0324" w:rsidRDefault="008C0324"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42B"/>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5AA4"/>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090"/>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324"/>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64B"/>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E335-27C3-4583-ABCB-38082A80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2870</Words>
  <Characters>16362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2019-04-03T10:17:00Z</dcterms:created>
  <dcterms:modified xsi:type="dcterms:W3CDTF">2019-04-03T10:17:00Z</dcterms:modified>
</cp:coreProperties>
</file>